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08" w:rsidRPr="001C0E93" w:rsidRDefault="009E7508" w:rsidP="009E7508">
      <w:pPr>
        <w:spacing w:after="0" w:line="240" w:lineRule="auto"/>
        <w:rPr>
          <w:rFonts w:asciiTheme="minorHAnsi" w:hAnsiTheme="minorHAnsi"/>
          <w:b/>
          <w:snapToGrid w:val="0"/>
          <w:color w:val="000000"/>
          <w:sz w:val="24"/>
        </w:rPr>
      </w:pPr>
      <w:r w:rsidRPr="001C0E93">
        <w:rPr>
          <w:rFonts w:asciiTheme="minorHAnsi" w:hAnsiTheme="minorHAnsi"/>
          <w:b/>
          <w:snapToGrid w:val="0"/>
          <w:color w:val="000000"/>
          <w:sz w:val="24"/>
        </w:rPr>
        <w:t>Ergänzende Materialien: Inhaltliche Mer</w:t>
      </w:r>
      <w:bookmarkStart w:id="0" w:name="_GoBack"/>
      <w:bookmarkEnd w:id="0"/>
      <w:r w:rsidRPr="001C0E93">
        <w:rPr>
          <w:rFonts w:asciiTheme="minorHAnsi" w:hAnsiTheme="minorHAnsi"/>
          <w:b/>
          <w:snapToGrid w:val="0"/>
          <w:color w:val="000000"/>
          <w:sz w:val="24"/>
        </w:rPr>
        <w:t xml:space="preserve">kmale eines BO-Curriculums </w:t>
      </w:r>
    </w:p>
    <w:p w:rsidR="009E7508" w:rsidRPr="001C0E93" w:rsidRDefault="009E7508" w:rsidP="009E7508">
      <w:pPr>
        <w:spacing w:after="0" w:line="240" w:lineRule="auto"/>
        <w:rPr>
          <w:rFonts w:asciiTheme="minorHAnsi" w:hAnsiTheme="minorHAnsi"/>
          <w:snapToGrid w:val="0"/>
          <w:color w:val="000000"/>
          <w:sz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425"/>
        <w:gridCol w:w="851"/>
      </w:tblGrid>
      <w:tr w:rsidR="009E7508" w:rsidRPr="001C0E93" w:rsidTr="001C0E93">
        <w:trPr>
          <w:trHeight w:val="510"/>
        </w:trPr>
        <w:tc>
          <w:tcPr>
            <w:tcW w:w="8222" w:type="dxa"/>
            <w:shd w:val="clear" w:color="auto" w:fill="C0C0C0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  <w:b/>
              </w:rPr>
              <w:t>Eine Schule entwickelt ein BO-Curriculum, das …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1C0E93">
              <w:rPr>
                <w:rFonts w:asciiTheme="minorHAnsi" w:hAnsiTheme="minorHAnsi"/>
                <w:snapToGrid w:val="0"/>
                <w:color w:val="000000"/>
              </w:rPr>
              <w:sym w:font="Wingdings" w:char="F0FC"/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C0E93">
              <w:rPr>
                <w:rFonts w:asciiTheme="minorHAnsi" w:hAnsiTheme="minorHAnsi"/>
                <w:b/>
                <w:snapToGrid w:val="0"/>
                <w:color w:val="000000"/>
              </w:rPr>
              <w:t>in Arbeit</w:t>
            </w: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die schulischen Rahmenbedingungen berücksichtigt,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Verantwortlichkeiten festlegt,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die individuellen Lebensentwürfe der Jugendlichen als Bezugspunkte der Berufs- und Studienorientierung hat,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c>
          <w:tcPr>
            <w:tcW w:w="8222" w:type="dxa"/>
            <w:vAlign w:val="center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die Selbstfindung (insbesondere Interessen, Neigungen, Fähigkeiten und Talente) und das eigenverantwortliche Handeln der Jugendlichen fördert,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 xml:space="preserve">mit der 5. </w:t>
            </w:r>
            <w:proofErr w:type="spellStart"/>
            <w:r w:rsidRPr="001C0E93">
              <w:rPr>
                <w:rFonts w:asciiTheme="minorHAnsi" w:hAnsiTheme="minorHAnsi"/>
              </w:rPr>
              <w:t>Jgst</w:t>
            </w:r>
            <w:proofErr w:type="spellEnd"/>
            <w:r w:rsidRPr="001C0E93">
              <w:rPr>
                <w:rFonts w:asciiTheme="minorHAnsi" w:hAnsiTheme="minorHAnsi"/>
              </w:rPr>
              <w:t>. beginnt,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 xml:space="preserve">ab der 8. </w:t>
            </w:r>
            <w:proofErr w:type="spellStart"/>
            <w:r w:rsidRPr="001C0E93">
              <w:rPr>
                <w:rFonts w:asciiTheme="minorHAnsi" w:hAnsiTheme="minorHAnsi"/>
              </w:rPr>
              <w:t>Jgst</w:t>
            </w:r>
            <w:proofErr w:type="spellEnd"/>
            <w:r w:rsidRPr="001C0E93">
              <w:rPr>
                <w:rFonts w:asciiTheme="minorHAnsi" w:hAnsiTheme="minorHAnsi"/>
              </w:rPr>
              <w:t xml:space="preserve">. auf den folgenden Phasen basiert: Potenziale erkennen, Berufsfelder kennen lernen, Praxis erproben, Entscheidungen konkretisieren und Übergänge gestalten 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die Standardelemente beinhaltet und eigene Schwerpunkte mit schulinternen Bausteinen setzt,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den Prozesscharakter der Beruf- und Studienorientierung hervorhebt,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die Berufswahlkompetenz fördert,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 xml:space="preserve">die Ziele und den Kompetenzerwerb der einzelnen Phasen und einzelnen Bausteine für jede </w:t>
            </w:r>
            <w:proofErr w:type="spellStart"/>
            <w:r w:rsidRPr="001C0E93">
              <w:rPr>
                <w:rFonts w:asciiTheme="minorHAnsi" w:hAnsiTheme="minorHAnsi"/>
              </w:rPr>
              <w:t>Jgst</w:t>
            </w:r>
            <w:proofErr w:type="spellEnd"/>
            <w:r w:rsidRPr="001C0E93">
              <w:rPr>
                <w:rFonts w:asciiTheme="minorHAnsi" w:hAnsiTheme="minorHAnsi"/>
              </w:rPr>
              <w:t>. definiert,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 xml:space="preserve">Kompetenzerwerb aus non-formalen und informellen Lernzusammenhängen einbezieht, 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Berufs- und Studienorientierung als integrativen Bestandteil jedes Fachunterrichts beinhaltet,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Berufs- und Studienorientierung fächerübergreifend gestaltet,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 xml:space="preserve">Informationsmöglichkeiten für </w:t>
            </w:r>
            <w:proofErr w:type="spellStart"/>
            <w:r w:rsidRPr="001C0E93">
              <w:rPr>
                <w:rFonts w:asciiTheme="minorHAnsi" w:hAnsiTheme="minorHAnsi"/>
              </w:rPr>
              <w:t>SuS</w:t>
            </w:r>
            <w:proofErr w:type="spellEnd"/>
            <w:r w:rsidRPr="001C0E93">
              <w:rPr>
                <w:rFonts w:asciiTheme="minorHAnsi" w:hAnsiTheme="minorHAnsi"/>
              </w:rPr>
              <w:t xml:space="preserve"> über Berufsfelder und Berufe eröffnet,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die Anforderungen der Arbeitswelt und die Berufsvielfalt vermittelt,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c>
          <w:tcPr>
            <w:tcW w:w="8222" w:type="dxa"/>
            <w:vAlign w:val="center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 xml:space="preserve">die Förderung von Praxiserfahrungen ab der 8. </w:t>
            </w:r>
            <w:proofErr w:type="spellStart"/>
            <w:r w:rsidRPr="001C0E93">
              <w:rPr>
                <w:rFonts w:asciiTheme="minorHAnsi" w:hAnsiTheme="minorHAnsi"/>
              </w:rPr>
              <w:t>Jgst</w:t>
            </w:r>
            <w:proofErr w:type="spellEnd"/>
            <w:r w:rsidRPr="001C0E93">
              <w:rPr>
                <w:rFonts w:asciiTheme="minorHAnsi" w:hAnsiTheme="minorHAnsi"/>
              </w:rPr>
              <w:t>. in Schule und an außerschulischen Lernorten ermöglicht,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die Ausbildungsfähigkeit fördert,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gender- und migrationssensible Bedarfe berücksichtigt,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 xml:space="preserve">besondere Angebote für </w:t>
            </w:r>
            <w:proofErr w:type="spellStart"/>
            <w:r w:rsidRPr="001C0E93">
              <w:rPr>
                <w:rFonts w:asciiTheme="minorHAnsi" w:hAnsiTheme="minorHAnsi"/>
              </w:rPr>
              <w:t>SuS</w:t>
            </w:r>
            <w:proofErr w:type="spellEnd"/>
            <w:r w:rsidRPr="001C0E93">
              <w:rPr>
                <w:rFonts w:asciiTheme="minorHAnsi" w:hAnsiTheme="minorHAnsi"/>
              </w:rPr>
              <w:t xml:space="preserve"> mit besonderem Förderbedarf enthält (insbesondere Inklusion),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ein Konzept zur Beratung im Rahmen der BO darstellt, inklusive Diagnose und BO-Förderplanung,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 xml:space="preserve">eine prozessorientierte Dokumentation für </w:t>
            </w:r>
            <w:proofErr w:type="spellStart"/>
            <w:r w:rsidRPr="001C0E93">
              <w:rPr>
                <w:rFonts w:asciiTheme="minorHAnsi" w:hAnsiTheme="minorHAnsi"/>
              </w:rPr>
              <w:t>SuS</w:t>
            </w:r>
            <w:proofErr w:type="spellEnd"/>
            <w:r w:rsidRPr="001C0E93">
              <w:rPr>
                <w:rFonts w:asciiTheme="minorHAnsi" w:hAnsiTheme="minorHAnsi"/>
              </w:rPr>
              <w:t xml:space="preserve"> beinhaltet,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die Kooperation mit außerschulischen Partnern regelt und deren Angebote einbindet,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Eltern und Erziehungsberechtigte einbindet und über die Schritte im BO-Prozess informiert,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die Übergangsgestaltung mit einem institutionellen Schnittstellenmanagement und einer Wegebegleitung systematisch plant und anschlussorientiert gestaltet,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7508" w:rsidRPr="001C0E93" w:rsidTr="001C0E93">
        <w:trPr>
          <w:trHeight w:val="397"/>
        </w:trPr>
        <w:tc>
          <w:tcPr>
            <w:tcW w:w="8222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  <w:r w:rsidRPr="001C0E93">
              <w:rPr>
                <w:rFonts w:asciiTheme="minorHAnsi" w:hAnsiTheme="minorHAnsi"/>
              </w:rPr>
              <w:t>ein abgestimmtes Evaluations- und Monitoring-Instrumentarium enthält.</w:t>
            </w:r>
          </w:p>
        </w:tc>
        <w:tc>
          <w:tcPr>
            <w:tcW w:w="425" w:type="dxa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9E7508" w:rsidRPr="001C0E93" w:rsidRDefault="009E7508" w:rsidP="0041525E">
            <w:pPr>
              <w:pStyle w:val="KeinLeerraum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590AA1" w:rsidRPr="001C0E93" w:rsidRDefault="00590AA1" w:rsidP="001C0E93">
      <w:pPr>
        <w:ind w:right="-284"/>
        <w:rPr>
          <w:rFonts w:asciiTheme="minorHAnsi" w:hAnsiTheme="minorHAnsi"/>
        </w:rPr>
      </w:pPr>
    </w:p>
    <w:sectPr w:rsidR="00590AA1" w:rsidRPr="001C0E93" w:rsidSect="00262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A1" w:rsidRDefault="00590AA1" w:rsidP="00590AA1">
      <w:pPr>
        <w:spacing w:after="0" w:line="240" w:lineRule="auto"/>
      </w:pPr>
      <w:r>
        <w:separator/>
      </w:r>
    </w:p>
  </w:endnote>
  <w:endnote w:type="continuationSeparator" w:id="0">
    <w:p w:rsidR="00590AA1" w:rsidRDefault="00590AA1" w:rsidP="0059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A1" w:rsidRDefault="00590AA1" w:rsidP="00590AA1">
      <w:pPr>
        <w:spacing w:after="0" w:line="240" w:lineRule="auto"/>
      </w:pPr>
      <w:r>
        <w:separator/>
      </w:r>
    </w:p>
  </w:footnote>
  <w:footnote w:type="continuationSeparator" w:id="0">
    <w:p w:rsidR="00590AA1" w:rsidRDefault="00590AA1" w:rsidP="0059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FAA"/>
    <w:multiLevelType w:val="hybridMultilevel"/>
    <w:tmpl w:val="6A9C5F0C"/>
    <w:lvl w:ilvl="0" w:tplc="10029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40F9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A2B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3E5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4851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3EA0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FCFC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32ED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42D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A1011"/>
    <w:multiLevelType w:val="hybridMultilevel"/>
    <w:tmpl w:val="C20AA53A"/>
    <w:lvl w:ilvl="0" w:tplc="A0124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3215AE">
      <w:start w:val="1"/>
      <w:numFmt w:val="lowerLetter"/>
      <w:lvlText w:val="%2."/>
      <w:lvlJc w:val="left"/>
      <w:pPr>
        <w:ind w:left="1080" w:hanging="360"/>
      </w:pPr>
    </w:lvl>
    <w:lvl w:ilvl="2" w:tplc="FE26C190" w:tentative="1">
      <w:start w:val="1"/>
      <w:numFmt w:val="lowerRoman"/>
      <w:lvlText w:val="%3."/>
      <w:lvlJc w:val="right"/>
      <w:pPr>
        <w:ind w:left="1800" w:hanging="180"/>
      </w:pPr>
    </w:lvl>
    <w:lvl w:ilvl="3" w:tplc="29B452AA" w:tentative="1">
      <w:start w:val="1"/>
      <w:numFmt w:val="decimal"/>
      <w:lvlText w:val="%4."/>
      <w:lvlJc w:val="left"/>
      <w:pPr>
        <w:ind w:left="2520" w:hanging="360"/>
      </w:pPr>
    </w:lvl>
    <w:lvl w:ilvl="4" w:tplc="AB4291BE" w:tentative="1">
      <w:start w:val="1"/>
      <w:numFmt w:val="lowerLetter"/>
      <w:lvlText w:val="%5."/>
      <w:lvlJc w:val="left"/>
      <w:pPr>
        <w:ind w:left="3240" w:hanging="360"/>
      </w:pPr>
    </w:lvl>
    <w:lvl w:ilvl="5" w:tplc="C78282AE" w:tentative="1">
      <w:start w:val="1"/>
      <w:numFmt w:val="lowerRoman"/>
      <w:lvlText w:val="%6."/>
      <w:lvlJc w:val="right"/>
      <w:pPr>
        <w:ind w:left="3960" w:hanging="180"/>
      </w:pPr>
    </w:lvl>
    <w:lvl w:ilvl="6" w:tplc="BF86F608" w:tentative="1">
      <w:start w:val="1"/>
      <w:numFmt w:val="decimal"/>
      <w:lvlText w:val="%7."/>
      <w:lvlJc w:val="left"/>
      <w:pPr>
        <w:ind w:left="4680" w:hanging="360"/>
      </w:pPr>
    </w:lvl>
    <w:lvl w:ilvl="7" w:tplc="3970D328" w:tentative="1">
      <w:start w:val="1"/>
      <w:numFmt w:val="lowerLetter"/>
      <w:lvlText w:val="%8."/>
      <w:lvlJc w:val="left"/>
      <w:pPr>
        <w:ind w:left="5400" w:hanging="360"/>
      </w:pPr>
    </w:lvl>
    <w:lvl w:ilvl="8" w:tplc="62328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31EA9"/>
    <w:multiLevelType w:val="hybridMultilevel"/>
    <w:tmpl w:val="E94EF34E"/>
    <w:lvl w:ilvl="0" w:tplc="02920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E4D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6434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4292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E6C0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2A50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C668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889D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2226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B7ED3"/>
    <w:multiLevelType w:val="hybridMultilevel"/>
    <w:tmpl w:val="8F704ECA"/>
    <w:lvl w:ilvl="0" w:tplc="EC921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CA2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FE82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F8CF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F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46A7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EA04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52F9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5CAE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C4D03"/>
    <w:multiLevelType w:val="hybridMultilevel"/>
    <w:tmpl w:val="80B2B4A6"/>
    <w:lvl w:ilvl="0" w:tplc="0400D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084A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F83B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CAB2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B648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0A4F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929B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04F7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EEEB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A1"/>
    <w:rsid w:val="000419DA"/>
    <w:rsid w:val="00076E62"/>
    <w:rsid w:val="000C30E9"/>
    <w:rsid w:val="00182AA5"/>
    <w:rsid w:val="001C0E93"/>
    <w:rsid w:val="00262F62"/>
    <w:rsid w:val="003342C7"/>
    <w:rsid w:val="00347588"/>
    <w:rsid w:val="003F2692"/>
    <w:rsid w:val="004032AB"/>
    <w:rsid w:val="004E1322"/>
    <w:rsid w:val="00590AA1"/>
    <w:rsid w:val="00656295"/>
    <w:rsid w:val="00681117"/>
    <w:rsid w:val="00695CC1"/>
    <w:rsid w:val="007570EF"/>
    <w:rsid w:val="007A2DED"/>
    <w:rsid w:val="008B7ECF"/>
    <w:rsid w:val="008C26EC"/>
    <w:rsid w:val="009238C9"/>
    <w:rsid w:val="009813E0"/>
    <w:rsid w:val="009E7508"/>
    <w:rsid w:val="00A5671E"/>
    <w:rsid w:val="00AC3BF0"/>
    <w:rsid w:val="00BC1593"/>
    <w:rsid w:val="00C66DF1"/>
    <w:rsid w:val="00C840B1"/>
    <w:rsid w:val="00D625C7"/>
    <w:rsid w:val="00D76C99"/>
    <w:rsid w:val="00DA090F"/>
    <w:rsid w:val="00DB404F"/>
    <w:rsid w:val="00DD46BE"/>
    <w:rsid w:val="00E9786F"/>
    <w:rsid w:val="00EB16AB"/>
    <w:rsid w:val="00F21FC2"/>
    <w:rsid w:val="00F22BCD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0AA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D625C7"/>
    <w:pPr>
      <w:numPr>
        <w:numId w:val="11"/>
      </w:numPr>
      <w:spacing w:line="280" w:lineRule="atLeast"/>
    </w:pPr>
    <w:rPr>
      <w:rFonts w:eastAsia="Times New Roman" w:cs="Arial"/>
      <w:vanish/>
      <w:sz w:val="21"/>
      <w:szCs w:val="21"/>
    </w:rPr>
  </w:style>
  <w:style w:type="paragraph" w:styleId="KeinLeerraum">
    <w:name w:val="No Spacing"/>
    <w:qFormat/>
    <w:rsid w:val="00590AA1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90AA1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0AA1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182AA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0AA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D625C7"/>
    <w:pPr>
      <w:numPr>
        <w:numId w:val="11"/>
      </w:numPr>
      <w:spacing w:line="280" w:lineRule="atLeast"/>
    </w:pPr>
    <w:rPr>
      <w:rFonts w:eastAsia="Times New Roman" w:cs="Arial"/>
      <w:vanish/>
      <w:sz w:val="21"/>
      <w:szCs w:val="21"/>
    </w:rPr>
  </w:style>
  <w:style w:type="paragraph" w:styleId="KeinLeerraum">
    <w:name w:val="No Spacing"/>
    <w:qFormat/>
    <w:rsid w:val="00590AA1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90AA1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59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0AA1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qFormat/>
    <w:rsid w:val="00182A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29950A44.dotm</Template>
  <TotalTime>0</TotalTime>
  <Pages>1</Pages>
  <Words>240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Wettschereck, Ute</dc:creator>
  <cp:lastModifiedBy>Wettschereck, Ute</cp:lastModifiedBy>
  <cp:revision>4</cp:revision>
  <cp:lastPrinted>2017-05-10T10:29:00Z</cp:lastPrinted>
  <dcterms:created xsi:type="dcterms:W3CDTF">2017-03-03T12:04:00Z</dcterms:created>
  <dcterms:modified xsi:type="dcterms:W3CDTF">2017-05-10T10:31:00Z</dcterms:modified>
</cp:coreProperties>
</file>